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page" w:tblpX="610" w:tblpY="-875"/>
        <w:tblW w:w="15375" w:type="dxa"/>
        <w:tblLook w:val="04A0" w:firstRow="1" w:lastRow="0" w:firstColumn="1" w:lastColumn="0" w:noHBand="0" w:noVBand="1"/>
      </w:tblPr>
      <w:tblGrid>
        <w:gridCol w:w="7529"/>
        <w:gridCol w:w="7846"/>
      </w:tblGrid>
      <w:tr w:rsidR="00CB75BA" w:rsidRPr="00893D58" w14:paraId="7815B50B" w14:textId="77777777" w:rsidTr="00893D58">
        <w:trPr>
          <w:trHeight w:val="486"/>
        </w:trPr>
        <w:tc>
          <w:tcPr>
            <w:tcW w:w="15375" w:type="dxa"/>
            <w:gridSpan w:val="2"/>
          </w:tcPr>
          <w:p w14:paraId="0FB39988" w14:textId="6B51DFD9" w:rsidR="00893D58" w:rsidRPr="00893D58" w:rsidRDefault="009620C0" w:rsidP="00893D58">
            <w:pPr>
              <w:jc w:val="center"/>
              <w:rPr>
                <w:b/>
                <w:sz w:val="28"/>
                <w:szCs w:val="28"/>
              </w:rPr>
            </w:pPr>
            <w:r w:rsidRPr="00893D58">
              <w:rPr>
                <w:b/>
                <w:sz w:val="28"/>
                <w:szCs w:val="28"/>
              </w:rPr>
              <w:t>Teacher Task Card</w:t>
            </w:r>
            <w:r w:rsidR="00294E75">
              <w:rPr>
                <w:b/>
                <w:sz w:val="28"/>
                <w:szCs w:val="28"/>
              </w:rPr>
              <w:t xml:space="preserve"> </w:t>
            </w:r>
            <w:r w:rsidR="00C2056F">
              <w:rPr>
                <w:b/>
                <w:sz w:val="28"/>
                <w:szCs w:val="28"/>
              </w:rPr>
              <w:t>1</w:t>
            </w:r>
          </w:p>
        </w:tc>
      </w:tr>
      <w:tr w:rsidR="00893D58" w:rsidRPr="00893D58" w14:paraId="62F3D484" w14:textId="77777777" w:rsidTr="00893D58">
        <w:trPr>
          <w:trHeight w:val="793"/>
        </w:trPr>
        <w:tc>
          <w:tcPr>
            <w:tcW w:w="7529" w:type="dxa"/>
          </w:tcPr>
          <w:p w14:paraId="316CD54B" w14:textId="77777777" w:rsidR="00A9591F" w:rsidRPr="00893D58" w:rsidRDefault="00080680" w:rsidP="00893D58">
            <w:pPr>
              <w:rPr>
                <w:b/>
                <w:sz w:val="28"/>
                <w:szCs w:val="28"/>
              </w:rPr>
            </w:pPr>
            <w:r w:rsidRPr="00893D58">
              <w:rPr>
                <w:b/>
                <w:sz w:val="28"/>
                <w:szCs w:val="28"/>
              </w:rPr>
              <w:t>Subject:</w:t>
            </w:r>
          </w:p>
          <w:p w14:paraId="067B016E" w14:textId="4D6F6A92" w:rsidR="00080680" w:rsidRPr="00893D58" w:rsidRDefault="00C2056F" w:rsidP="00893D58">
            <w:pPr>
              <w:rPr>
                <w:sz w:val="28"/>
                <w:szCs w:val="28"/>
              </w:rPr>
            </w:pPr>
            <w:r>
              <w:rPr>
                <w:sz w:val="28"/>
                <w:szCs w:val="28"/>
              </w:rPr>
              <w:t>Science</w:t>
            </w:r>
          </w:p>
          <w:p w14:paraId="373F69A0" w14:textId="77777777" w:rsidR="007E4059" w:rsidRPr="00893D58" w:rsidRDefault="007E4059" w:rsidP="00893D58">
            <w:pPr>
              <w:rPr>
                <w:sz w:val="28"/>
                <w:szCs w:val="28"/>
              </w:rPr>
            </w:pPr>
          </w:p>
        </w:tc>
        <w:tc>
          <w:tcPr>
            <w:tcW w:w="7846" w:type="dxa"/>
            <w:vMerge w:val="restart"/>
          </w:tcPr>
          <w:p w14:paraId="16C3EEA0" w14:textId="77777777" w:rsidR="00080680" w:rsidRPr="00893D58" w:rsidRDefault="00080680" w:rsidP="00893D58">
            <w:pPr>
              <w:rPr>
                <w:b/>
                <w:sz w:val="28"/>
                <w:szCs w:val="28"/>
              </w:rPr>
            </w:pPr>
            <w:r w:rsidRPr="00893D58">
              <w:rPr>
                <w:b/>
                <w:sz w:val="28"/>
                <w:szCs w:val="28"/>
              </w:rPr>
              <w:t>Content Descriptor:</w:t>
            </w:r>
            <w:r w:rsidR="00622889" w:rsidRPr="00893D58">
              <w:rPr>
                <w:b/>
                <w:sz w:val="28"/>
                <w:szCs w:val="28"/>
              </w:rPr>
              <w:t xml:space="preserve"> </w:t>
            </w:r>
          </w:p>
          <w:p w14:paraId="05D54CE6" w14:textId="6E483378" w:rsidR="007E4059" w:rsidRPr="00893D58" w:rsidRDefault="008131D5" w:rsidP="00C2056F">
            <w:pPr>
              <w:rPr>
                <w:sz w:val="28"/>
                <w:szCs w:val="28"/>
              </w:rPr>
            </w:pPr>
            <w:r>
              <w:rPr>
                <w:sz w:val="28"/>
                <w:szCs w:val="28"/>
              </w:rPr>
              <w:t>Living things can be grouped on the basis of observable features and can be distinguished from non-ling things (ACSSU044).</w:t>
            </w:r>
          </w:p>
        </w:tc>
      </w:tr>
      <w:tr w:rsidR="00893D58" w:rsidRPr="00893D58" w14:paraId="368C22A5" w14:textId="77777777" w:rsidTr="00893D58">
        <w:trPr>
          <w:trHeight w:val="97"/>
        </w:trPr>
        <w:tc>
          <w:tcPr>
            <w:tcW w:w="7529" w:type="dxa"/>
          </w:tcPr>
          <w:p w14:paraId="3F2CB84D" w14:textId="77777777" w:rsidR="00A9591F" w:rsidRPr="00893D58" w:rsidRDefault="00080680" w:rsidP="00893D58">
            <w:pPr>
              <w:rPr>
                <w:b/>
                <w:sz w:val="28"/>
                <w:szCs w:val="28"/>
              </w:rPr>
            </w:pPr>
            <w:r w:rsidRPr="00893D58">
              <w:rPr>
                <w:b/>
                <w:sz w:val="28"/>
                <w:szCs w:val="28"/>
              </w:rPr>
              <w:t>Topic:</w:t>
            </w:r>
          </w:p>
          <w:p w14:paraId="5911F325" w14:textId="3E631136" w:rsidR="00080680" w:rsidRPr="00893D58" w:rsidRDefault="00C2056F" w:rsidP="00893D58">
            <w:pPr>
              <w:rPr>
                <w:sz w:val="28"/>
                <w:szCs w:val="28"/>
              </w:rPr>
            </w:pPr>
            <w:r>
              <w:rPr>
                <w:sz w:val="28"/>
                <w:szCs w:val="28"/>
              </w:rPr>
              <w:t>Biological Sciences</w:t>
            </w:r>
            <w:r w:rsidR="005F6D96" w:rsidRPr="00893D58">
              <w:rPr>
                <w:sz w:val="28"/>
                <w:szCs w:val="28"/>
              </w:rPr>
              <w:t xml:space="preserve"> </w:t>
            </w:r>
          </w:p>
          <w:p w14:paraId="75AEC340" w14:textId="77777777" w:rsidR="007E4059" w:rsidRPr="00893D58" w:rsidRDefault="007E4059" w:rsidP="00893D58">
            <w:pPr>
              <w:rPr>
                <w:b/>
                <w:sz w:val="28"/>
                <w:szCs w:val="28"/>
              </w:rPr>
            </w:pPr>
          </w:p>
        </w:tc>
        <w:tc>
          <w:tcPr>
            <w:tcW w:w="7846" w:type="dxa"/>
            <w:vMerge/>
          </w:tcPr>
          <w:p w14:paraId="4C8572A6" w14:textId="77777777" w:rsidR="00080680" w:rsidRPr="00893D58" w:rsidRDefault="00080680" w:rsidP="00893D58">
            <w:pPr>
              <w:rPr>
                <w:b/>
                <w:sz w:val="28"/>
                <w:szCs w:val="28"/>
              </w:rPr>
            </w:pPr>
          </w:p>
        </w:tc>
      </w:tr>
      <w:tr w:rsidR="00893D58" w:rsidRPr="00893D58" w14:paraId="15CD5D22" w14:textId="77777777" w:rsidTr="00893D58">
        <w:trPr>
          <w:trHeight w:val="919"/>
        </w:trPr>
        <w:tc>
          <w:tcPr>
            <w:tcW w:w="7529" w:type="dxa"/>
          </w:tcPr>
          <w:p w14:paraId="3919F3B3" w14:textId="77777777" w:rsidR="00A9591F" w:rsidRPr="00893D58" w:rsidRDefault="00080680" w:rsidP="00893D58">
            <w:pPr>
              <w:rPr>
                <w:b/>
                <w:sz w:val="28"/>
                <w:szCs w:val="28"/>
              </w:rPr>
            </w:pPr>
            <w:r w:rsidRPr="00893D58">
              <w:rPr>
                <w:b/>
                <w:sz w:val="28"/>
                <w:szCs w:val="28"/>
              </w:rPr>
              <w:t>Year Level:</w:t>
            </w:r>
          </w:p>
          <w:p w14:paraId="44D4ADCB" w14:textId="5CC3D571" w:rsidR="00080680" w:rsidRPr="00893D58" w:rsidRDefault="00C2056F" w:rsidP="00893D58">
            <w:pPr>
              <w:rPr>
                <w:sz w:val="28"/>
                <w:szCs w:val="28"/>
              </w:rPr>
            </w:pPr>
            <w:r>
              <w:rPr>
                <w:sz w:val="28"/>
                <w:szCs w:val="28"/>
              </w:rPr>
              <w:t>Year 3</w:t>
            </w:r>
          </w:p>
          <w:p w14:paraId="33A6F91D" w14:textId="77777777" w:rsidR="007E4059" w:rsidRPr="00893D58" w:rsidRDefault="007E4059" w:rsidP="00893D58">
            <w:pPr>
              <w:rPr>
                <w:b/>
                <w:sz w:val="28"/>
                <w:szCs w:val="28"/>
              </w:rPr>
            </w:pPr>
          </w:p>
        </w:tc>
        <w:tc>
          <w:tcPr>
            <w:tcW w:w="7846" w:type="dxa"/>
            <w:vMerge w:val="restart"/>
          </w:tcPr>
          <w:p w14:paraId="27AF9445" w14:textId="77777777" w:rsidR="00080680" w:rsidRPr="00893D58" w:rsidRDefault="00080680" w:rsidP="00893D58">
            <w:pPr>
              <w:rPr>
                <w:b/>
                <w:sz w:val="28"/>
                <w:szCs w:val="28"/>
              </w:rPr>
            </w:pPr>
            <w:r w:rsidRPr="00893D58">
              <w:rPr>
                <w:b/>
                <w:sz w:val="28"/>
                <w:szCs w:val="28"/>
              </w:rPr>
              <w:t>Elaboration:</w:t>
            </w:r>
          </w:p>
          <w:p w14:paraId="15D7E087" w14:textId="77E0ECDF" w:rsidR="007E4059" w:rsidRPr="00893D58" w:rsidRDefault="008131D5" w:rsidP="00C2056F">
            <w:pPr>
              <w:rPr>
                <w:sz w:val="28"/>
                <w:szCs w:val="28"/>
              </w:rPr>
            </w:pPr>
            <w:r>
              <w:rPr>
                <w:sz w:val="28"/>
                <w:szCs w:val="28"/>
              </w:rPr>
              <w:t xml:space="preserve">Sorting living and </w:t>
            </w:r>
            <w:r w:rsidR="00802304">
              <w:rPr>
                <w:sz w:val="28"/>
                <w:szCs w:val="28"/>
              </w:rPr>
              <w:t>non-living things based on charac</w:t>
            </w:r>
            <w:r>
              <w:rPr>
                <w:sz w:val="28"/>
                <w:szCs w:val="28"/>
              </w:rPr>
              <w:t>teristics.</w:t>
            </w:r>
          </w:p>
        </w:tc>
      </w:tr>
      <w:tr w:rsidR="00893D58" w:rsidRPr="00893D58" w14:paraId="1F47C3BE" w14:textId="77777777" w:rsidTr="00893D58">
        <w:trPr>
          <w:trHeight w:val="97"/>
        </w:trPr>
        <w:tc>
          <w:tcPr>
            <w:tcW w:w="7529" w:type="dxa"/>
          </w:tcPr>
          <w:p w14:paraId="68D04F19" w14:textId="77777777" w:rsidR="00080680" w:rsidRPr="00893D58" w:rsidRDefault="00080680" w:rsidP="00893D58">
            <w:pPr>
              <w:rPr>
                <w:b/>
                <w:sz w:val="28"/>
                <w:szCs w:val="28"/>
              </w:rPr>
            </w:pPr>
            <w:r w:rsidRPr="00893D58">
              <w:rPr>
                <w:b/>
                <w:sz w:val="28"/>
                <w:szCs w:val="28"/>
              </w:rPr>
              <w:t>No. of Activities:</w:t>
            </w:r>
          </w:p>
          <w:p w14:paraId="2E1C15BF" w14:textId="373E2C07" w:rsidR="007E4059" w:rsidRPr="00893D58" w:rsidRDefault="006E2F7E" w:rsidP="00893D58">
            <w:pPr>
              <w:rPr>
                <w:sz w:val="28"/>
                <w:szCs w:val="28"/>
              </w:rPr>
            </w:pPr>
            <w:r>
              <w:rPr>
                <w:sz w:val="28"/>
                <w:szCs w:val="28"/>
              </w:rPr>
              <w:t>5</w:t>
            </w:r>
          </w:p>
          <w:p w14:paraId="027A9CC6" w14:textId="1A776733" w:rsidR="007E4059" w:rsidRPr="00893D58" w:rsidRDefault="007E4059" w:rsidP="00893D58">
            <w:pPr>
              <w:rPr>
                <w:sz w:val="28"/>
                <w:szCs w:val="28"/>
              </w:rPr>
            </w:pPr>
          </w:p>
        </w:tc>
        <w:tc>
          <w:tcPr>
            <w:tcW w:w="7846" w:type="dxa"/>
            <w:vMerge/>
          </w:tcPr>
          <w:p w14:paraId="34DD0CFB" w14:textId="77777777" w:rsidR="00080680" w:rsidRPr="00893D58" w:rsidRDefault="00080680" w:rsidP="00893D58">
            <w:pPr>
              <w:rPr>
                <w:b/>
                <w:sz w:val="28"/>
                <w:szCs w:val="28"/>
              </w:rPr>
            </w:pPr>
          </w:p>
        </w:tc>
      </w:tr>
    </w:tbl>
    <w:p w14:paraId="303CE40A" w14:textId="77777777" w:rsidR="00893D58" w:rsidRPr="00893D58" w:rsidRDefault="00893D58">
      <w:pPr>
        <w:rPr>
          <w:sz w:val="28"/>
          <w:szCs w:val="28"/>
        </w:rPr>
      </w:pPr>
    </w:p>
    <w:tbl>
      <w:tblPr>
        <w:tblStyle w:val="TableGrid"/>
        <w:tblW w:w="15432" w:type="dxa"/>
        <w:tblInd w:w="-836" w:type="dxa"/>
        <w:tblLook w:val="04A0" w:firstRow="1" w:lastRow="0" w:firstColumn="1" w:lastColumn="0" w:noHBand="0" w:noVBand="1"/>
      </w:tblPr>
      <w:tblGrid>
        <w:gridCol w:w="15432"/>
      </w:tblGrid>
      <w:tr w:rsidR="009620C0" w:rsidRPr="00893D58" w14:paraId="75F88A7A" w14:textId="77777777" w:rsidTr="00DB6D76">
        <w:trPr>
          <w:trHeight w:val="1233"/>
        </w:trPr>
        <w:tc>
          <w:tcPr>
            <w:tcW w:w="15432" w:type="dxa"/>
          </w:tcPr>
          <w:p w14:paraId="63002FD4" w14:textId="5CF13544" w:rsidR="00893D58" w:rsidRDefault="009620C0">
            <w:pPr>
              <w:rPr>
                <w:b/>
                <w:sz w:val="28"/>
                <w:szCs w:val="28"/>
              </w:rPr>
            </w:pPr>
            <w:r w:rsidRPr="00893D58">
              <w:rPr>
                <w:b/>
                <w:sz w:val="28"/>
                <w:szCs w:val="28"/>
              </w:rPr>
              <w:t>Prior Knowledge:</w:t>
            </w:r>
          </w:p>
          <w:p w14:paraId="77E31032" w14:textId="2C954925" w:rsidR="00802304" w:rsidRDefault="00802304">
            <w:pPr>
              <w:rPr>
                <w:sz w:val="28"/>
                <w:szCs w:val="28"/>
              </w:rPr>
            </w:pPr>
            <w:r>
              <w:rPr>
                <w:sz w:val="28"/>
                <w:szCs w:val="28"/>
              </w:rPr>
              <w:t>Students will have acquired prior knowledge about living things from previous units within the biological strand from previous years.</w:t>
            </w:r>
          </w:p>
          <w:p w14:paraId="7623E94E" w14:textId="41AA95A4" w:rsidR="00802304" w:rsidRPr="00802304" w:rsidRDefault="00802304">
            <w:pPr>
              <w:rPr>
                <w:sz w:val="28"/>
                <w:szCs w:val="28"/>
              </w:rPr>
            </w:pPr>
            <w:r>
              <w:rPr>
                <w:sz w:val="28"/>
                <w:szCs w:val="28"/>
              </w:rPr>
              <w:t>Students have already gained knowledge and understanding of characteristics of living things such as growing, moving, sensitivity and reproducing. They also can recognise the range of different living things.</w:t>
            </w:r>
          </w:p>
          <w:p w14:paraId="1CE41B50" w14:textId="2E641A95" w:rsidR="000E6B6E" w:rsidRPr="00893D58" w:rsidRDefault="000E6B6E" w:rsidP="00C2056F">
            <w:pPr>
              <w:rPr>
                <w:b/>
                <w:sz w:val="28"/>
                <w:szCs w:val="28"/>
              </w:rPr>
            </w:pPr>
          </w:p>
        </w:tc>
      </w:tr>
      <w:tr w:rsidR="000B5A1E" w:rsidRPr="00893D58" w14:paraId="63041DC9" w14:textId="77777777" w:rsidTr="000E6B6E">
        <w:trPr>
          <w:trHeight w:val="968"/>
        </w:trPr>
        <w:tc>
          <w:tcPr>
            <w:tcW w:w="15432" w:type="dxa"/>
          </w:tcPr>
          <w:p w14:paraId="1F2D103D" w14:textId="77777777" w:rsidR="005F6D96" w:rsidRPr="00893D58" w:rsidRDefault="005F6D96">
            <w:pPr>
              <w:rPr>
                <w:b/>
                <w:sz w:val="28"/>
                <w:szCs w:val="28"/>
              </w:rPr>
            </w:pPr>
            <w:r w:rsidRPr="00893D58">
              <w:rPr>
                <w:b/>
                <w:sz w:val="28"/>
                <w:szCs w:val="28"/>
              </w:rPr>
              <w:t>Pedagogy:</w:t>
            </w:r>
            <w:r w:rsidR="00916DD2" w:rsidRPr="00893D58">
              <w:rPr>
                <w:b/>
                <w:sz w:val="28"/>
                <w:szCs w:val="28"/>
              </w:rPr>
              <w:t xml:space="preserve"> </w:t>
            </w:r>
          </w:p>
          <w:p w14:paraId="1ED4C130" w14:textId="30A4E9AC" w:rsidR="007E4059" w:rsidRPr="00893D58" w:rsidRDefault="00C2056F" w:rsidP="00C2056F">
            <w:pPr>
              <w:rPr>
                <w:sz w:val="28"/>
                <w:szCs w:val="28"/>
              </w:rPr>
            </w:pPr>
            <w:r>
              <w:rPr>
                <w:sz w:val="28"/>
                <w:szCs w:val="28"/>
              </w:rPr>
              <w:t xml:space="preserve">5E’s - Engage, </w:t>
            </w:r>
            <w:r w:rsidR="00D13F40">
              <w:rPr>
                <w:sz w:val="28"/>
                <w:szCs w:val="28"/>
              </w:rPr>
              <w:t>Explore</w:t>
            </w:r>
            <w:r>
              <w:rPr>
                <w:sz w:val="28"/>
                <w:szCs w:val="28"/>
              </w:rPr>
              <w:t>,</w:t>
            </w:r>
            <w:r w:rsidR="00D13F40">
              <w:rPr>
                <w:sz w:val="28"/>
                <w:szCs w:val="28"/>
              </w:rPr>
              <w:t xml:space="preserve"> Explain,  Elaborate and Evaluate</w:t>
            </w:r>
            <w:r>
              <w:rPr>
                <w:sz w:val="28"/>
                <w:szCs w:val="28"/>
              </w:rPr>
              <w:t>.</w:t>
            </w:r>
          </w:p>
        </w:tc>
      </w:tr>
      <w:tr w:rsidR="000B5A1E" w:rsidRPr="00893D58" w14:paraId="3D82A09A" w14:textId="77777777" w:rsidTr="00DB6D76">
        <w:trPr>
          <w:trHeight w:val="1432"/>
        </w:trPr>
        <w:tc>
          <w:tcPr>
            <w:tcW w:w="15432" w:type="dxa"/>
          </w:tcPr>
          <w:p w14:paraId="2FF78F92" w14:textId="0D9CB803" w:rsidR="00080680" w:rsidRPr="00893D58" w:rsidRDefault="00080680">
            <w:pPr>
              <w:rPr>
                <w:b/>
                <w:sz w:val="28"/>
                <w:szCs w:val="28"/>
              </w:rPr>
            </w:pPr>
            <w:r w:rsidRPr="00893D58">
              <w:rPr>
                <w:b/>
                <w:sz w:val="28"/>
                <w:szCs w:val="28"/>
              </w:rPr>
              <w:t>Objectives of Activities:</w:t>
            </w:r>
          </w:p>
          <w:p w14:paraId="5B6601E5" w14:textId="78AF9495" w:rsidR="000E6B6E" w:rsidRDefault="00802304" w:rsidP="00C2056F">
            <w:pPr>
              <w:rPr>
                <w:sz w:val="28"/>
                <w:szCs w:val="28"/>
              </w:rPr>
            </w:pPr>
            <w:r>
              <w:rPr>
                <w:sz w:val="28"/>
                <w:szCs w:val="28"/>
              </w:rPr>
              <w:t>Students will</w:t>
            </w:r>
            <w:r w:rsidR="002453B7">
              <w:rPr>
                <w:sz w:val="28"/>
                <w:szCs w:val="28"/>
              </w:rPr>
              <w:t xml:space="preserve"> observe the stimulus to gain </w:t>
            </w:r>
            <w:r w:rsidR="008E451C">
              <w:rPr>
                <w:sz w:val="28"/>
                <w:szCs w:val="28"/>
              </w:rPr>
              <w:t xml:space="preserve">further </w:t>
            </w:r>
            <w:r w:rsidR="002453B7">
              <w:rPr>
                <w:sz w:val="28"/>
                <w:szCs w:val="28"/>
              </w:rPr>
              <w:t>understanding.</w:t>
            </w:r>
          </w:p>
          <w:p w14:paraId="4D6920F0" w14:textId="77777777" w:rsidR="002453B7" w:rsidRDefault="002453B7" w:rsidP="00C2056F">
            <w:pPr>
              <w:rPr>
                <w:sz w:val="28"/>
                <w:szCs w:val="28"/>
              </w:rPr>
            </w:pPr>
            <w:r>
              <w:rPr>
                <w:sz w:val="28"/>
                <w:szCs w:val="28"/>
              </w:rPr>
              <w:t>Students will suggest ideas about living and non-living things.</w:t>
            </w:r>
          </w:p>
          <w:p w14:paraId="20856A78" w14:textId="159207E0" w:rsidR="002453B7" w:rsidRDefault="002453B7" w:rsidP="00C2056F">
            <w:pPr>
              <w:rPr>
                <w:sz w:val="28"/>
                <w:szCs w:val="28"/>
              </w:rPr>
            </w:pPr>
            <w:r>
              <w:rPr>
                <w:sz w:val="28"/>
                <w:szCs w:val="28"/>
              </w:rPr>
              <w:t xml:space="preserve">Students will </w:t>
            </w:r>
            <w:r w:rsidR="0001119E">
              <w:rPr>
                <w:sz w:val="28"/>
                <w:szCs w:val="28"/>
              </w:rPr>
              <w:t xml:space="preserve">represent and </w:t>
            </w:r>
            <w:r>
              <w:rPr>
                <w:sz w:val="28"/>
                <w:szCs w:val="28"/>
              </w:rPr>
              <w:t>describe their understanding on how to differentiate living from non-living.</w:t>
            </w:r>
          </w:p>
          <w:p w14:paraId="516AE9EB" w14:textId="77777777" w:rsidR="002453B7" w:rsidRDefault="002453B7" w:rsidP="00C2056F">
            <w:pPr>
              <w:rPr>
                <w:sz w:val="28"/>
                <w:szCs w:val="28"/>
              </w:rPr>
            </w:pPr>
            <w:r>
              <w:rPr>
                <w:sz w:val="28"/>
                <w:szCs w:val="28"/>
              </w:rPr>
              <w:t>Students will</w:t>
            </w:r>
            <w:r w:rsidR="0001119E">
              <w:rPr>
                <w:sz w:val="28"/>
                <w:szCs w:val="28"/>
              </w:rPr>
              <w:t xml:space="preserve"> plan and record an investigation surrounding living and non-living things.</w:t>
            </w:r>
          </w:p>
          <w:p w14:paraId="474BAEED" w14:textId="7D080B52" w:rsidR="0001119E" w:rsidRPr="00893D58" w:rsidRDefault="00405B68" w:rsidP="00C2056F">
            <w:pPr>
              <w:rPr>
                <w:sz w:val="28"/>
                <w:szCs w:val="28"/>
              </w:rPr>
            </w:pPr>
            <w:r>
              <w:rPr>
                <w:sz w:val="28"/>
                <w:szCs w:val="28"/>
              </w:rPr>
              <w:t xml:space="preserve">Students will </w:t>
            </w:r>
            <w:r w:rsidR="00D13F40">
              <w:rPr>
                <w:sz w:val="28"/>
                <w:szCs w:val="28"/>
              </w:rPr>
              <w:t>present their findings to their peers.</w:t>
            </w:r>
          </w:p>
        </w:tc>
      </w:tr>
    </w:tbl>
    <w:p w14:paraId="0AB17916" w14:textId="77777777" w:rsidR="00893D58" w:rsidRPr="00893D58" w:rsidRDefault="00893D58">
      <w:pPr>
        <w:rPr>
          <w:sz w:val="28"/>
          <w:szCs w:val="28"/>
        </w:rPr>
      </w:pPr>
    </w:p>
    <w:tbl>
      <w:tblPr>
        <w:tblStyle w:val="TableGrid"/>
        <w:tblW w:w="15573" w:type="dxa"/>
        <w:tblInd w:w="-836" w:type="dxa"/>
        <w:tblLook w:val="04A0" w:firstRow="1" w:lastRow="0" w:firstColumn="1" w:lastColumn="0" w:noHBand="0" w:noVBand="1"/>
      </w:tblPr>
      <w:tblGrid>
        <w:gridCol w:w="15573"/>
      </w:tblGrid>
      <w:tr w:rsidR="000B5A1E" w:rsidRPr="00893D58" w14:paraId="651ECBD5" w14:textId="77777777" w:rsidTr="00893D58">
        <w:trPr>
          <w:trHeight w:val="1315"/>
        </w:trPr>
        <w:tc>
          <w:tcPr>
            <w:tcW w:w="15573" w:type="dxa"/>
          </w:tcPr>
          <w:p w14:paraId="76A87069" w14:textId="5CF7E184" w:rsidR="005A1D8A" w:rsidRPr="001E7216" w:rsidRDefault="00173BD7">
            <w:pPr>
              <w:rPr>
                <w:b/>
                <w:sz w:val="28"/>
                <w:szCs w:val="28"/>
              </w:rPr>
            </w:pPr>
            <w:r w:rsidRPr="00893D58">
              <w:rPr>
                <w:b/>
                <w:sz w:val="28"/>
                <w:szCs w:val="28"/>
              </w:rPr>
              <w:t>Sequence and Summary of Activities</w:t>
            </w:r>
            <w:r w:rsidR="00080680" w:rsidRPr="00893D58">
              <w:rPr>
                <w:b/>
                <w:sz w:val="28"/>
                <w:szCs w:val="28"/>
              </w:rPr>
              <w:t>:</w:t>
            </w:r>
          </w:p>
          <w:p w14:paraId="31A6A36F" w14:textId="66165632" w:rsidR="006036D6" w:rsidRPr="00893D58" w:rsidRDefault="006036D6" w:rsidP="00DB6D76">
            <w:pPr>
              <w:ind w:right="20"/>
              <w:rPr>
                <w:sz w:val="28"/>
                <w:szCs w:val="28"/>
              </w:rPr>
            </w:pPr>
            <w:r w:rsidRPr="00DB6D76">
              <w:rPr>
                <w:b/>
                <w:sz w:val="28"/>
                <w:szCs w:val="28"/>
              </w:rPr>
              <w:t>Activity 1</w:t>
            </w:r>
            <w:r w:rsidR="001E7216">
              <w:rPr>
                <w:b/>
                <w:sz w:val="28"/>
                <w:szCs w:val="28"/>
              </w:rPr>
              <w:t xml:space="preserve"> (ENGAGE)</w:t>
            </w:r>
            <w:r w:rsidRPr="00893D58">
              <w:rPr>
                <w:sz w:val="28"/>
                <w:szCs w:val="28"/>
              </w:rPr>
              <w:t xml:space="preserve"> </w:t>
            </w:r>
            <w:r w:rsidR="000B5A1E" w:rsidRPr="00893D58">
              <w:rPr>
                <w:sz w:val="28"/>
                <w:szCs w:val="28"/>
              </w:rPr>
              <w:t>–</w:t>
            </w:r>
            <w:r w:rsidRPr="00893D58">
              <w:rPr>
                <w:sz w:val="28"/>
                <w:szCs w:val="28"/>
              </w:rPr>
              <w:t xml:space="preserve"> </w:t>
            </w:r>
            <w:r w:rsidR="00D13F40">
              <w:rPr>
                <w:sz w:val="28"/>
                <w:szCs w:val="28"/>
              </w:rPr>
              <w:t xml:space="preserve">Students will watch a short video on </w:t>
            </w:r>
            <w:r w:rsidR="005273A8">
              <w:rPr>
                <w:sz w:val="28"/>
                <w:szCs w:val="28"/>
              </w:rPr>
              <w:t>living and non-living things.</w:t>
            </w:r>
          </w:p>
          <w:p w14:paraId="40E6015D" w14:textId="06DD029E" w:rsidR="00EA6570" w:rsidRDefault="000B5A1E" w:rsidP="00DB6D76">
            <w:pPr>
              <w:ind w:right="20"/>
              <w:rPr>
                <w:sz w:val="28"/>
                <w:szCs w:val="28"/>
              </w:rPr>
            </w:pPr>
            <w:r w:rsidRPr="00DB6D76">
              <w:rPr>
                <w:b/>
                <w:sz w:val="28"/>
                <w:szCs w:val="28"/>
              </w:rPr>
              <w:t>Activity 2</w:t>
            </w:r>
            <w:r w:rsidR="00294E75">
              <w:rPr>
                <w:sz w:val="28"/>
                <w:szCs w:val="28"/>
              </w:rPr>
              <w:t xml:space="preserve"> </w:t>
            </w:r>
            <w:r w:rsidR="001E7216">
              <w:rPr>
                <w:b/>
                <w:sz w:val="28"/>
                <w:szCs w:val="28"/>
              </w:rPr>
              <w:t xml:space="preserve">(EXPLORE) </w:t>
            </w:r>
            <w:r w:rsidR="00294E75">
              <w:rPr>
                <w:sz w:val="28"/>
                <w:szCs w:val="28"/>
              </w:rPr>
              <w:t>–</w:t>
            </w:r>
            <w:r w:rsidRPr="00893D58">
              <w:rPr>
                <w:sz w:val="28"/>
                <w:szCs w:val="28"/>
              </w:rPr>
              <w:t xml:space="preserve"> </w:t>
            </w:r>
            <w:r w:rsidR="001228C5">
              <w:rPr>
                <w:sz w:val="28"/>
                <w:szCs w:val="28"/>
              </w:rPr>
              <w:t>Students will form groups of 4 to discuss and record what they know and what they want to know through using a KWL chart. They will save the what they have learnt till the end of the activities and then use this as part of their presentation to the class.</w:t>
            </w:r>
          </w:p>
          <w:p w14:paraId="107E45DA" w14:textId="67BA0F2F" w:rsidR="00EE6D9B" w:rsidRPr="001228C5" w:rsidRDefault="00EA6570" w:rsidP="00DB6D76">
            <w:pPr>
              <w:ind w:right="20"/>
              <w:rPr>
                <w:sz w:val="28"/>
                <w:szCs w:val="28"/>
              </w:rPr>
            </w:pPr>
            <w:r>
              <w:rPr>
                <w:b/>
                <w:sz w:val="28"/>
                <w:szCs w:val="28"/>
              </w:rPr>
              <w:t>Activity 3</w:t>
            </w:r>
            <w:r w:rsidR="001E7216">
              <w:rPr>
                <w:b/>
                <w:sz w:val="28"/>
                <w:szCs w:val="28"/>
              </w:rPr>
              <w:t xml:space="preserve"> (EXPLAIN)</w:t>
            </w:r>
            <w:r>
              <w:rPr>
                <w:b/>
                <w:sz w:val="28"/>
                <w:szCs w:val="28"/>
              </w:rPr>
              <w:t xml:space="preserve"> </w:t>
            </w:r>
            <w:r w:rsidR="001228C5">
              <w:rPr>
                <w:sz w:val="28"/>
                <w:szCs w:val="28"/>
              </w:rPr>
              <w:t>– Students individually will use the information within their KWL chart and prior knowledge from previous lessons to fill in a VENN diagram.</w:t>
            </w:r>
          </w:p>
          <w:p w14:paraId="57BC5420" w14:textId="67E56938" w:rsidR="001228C5" w:rsidRPr="00893D58" w:rsidRDefault="00EE6D9B" w:rsidP="00DB6D76">
            <w:pPr>
              <w:ind w:right="20"/>
              <w:rPr>
                <w:sz w:val="28"/>
                <w:szCs w:val="28"/>
              </w:rPr>
            </w:pPr>
            <w:r w:rsidRPr="00DB6D76">
              <w:rPr>
                <w:b/>
                <w:sz w:val="28"/>
                <w:szCs w:val="28"/>
              </w:rPr>
              <w:t xml:space="preserve">Activity </w:t>
            </w:r>
            <w:r w:rsidR="00EA6570">
              <w:rPr>
                <w:b/>
                <w:sz w:val="28"/>
                <w:szCs w:val="28"/>
              </w:rPr>
              <w:t>4</w:t>
            </w:r>
            <w:r w:rsidR="001E7216">
              <w:rPr>
                <w:b/>
                <w:sz w:val="28"/>
                <w:szCs w:val="28"/>
              </w:rPr>
              <w:t xml:space="preserve"> (ELABORATE)</w:t>
            </w:r>
            <w:r w:rsidRPr="00893D58">
              <w:rPr>
                <w:sz w:val="28"/>
                <w:szCs w:val="28"/>
              </w:rPr>
              <w:t xml:space="preserve"> – </w:t>
            </w:r>
            <w:r w:rsidR="001228C5">
              <w:rPr>
                <w:sz w:val="28"/>
                <w:szCs w:val="28"/>
              </w:rPr>
              <w:t>In pairs students will plan an investigation within the school grounds to show knowledge and understanding of the differences and similarities between living and non-living things. Then can use the template provided or record this in their science books. They will need to share what they h</w:t>
            </w:r>
            <w:r w:rsidR="001E7216">
              <w:rPr>
                <w:sz w:val="28"/>
                <w:szCs w:val="28"/>
              </w:rPr>
              <w:t>ave discovered with other groups.</w:t>
            </w:r>
          </w:p>
          <w:p w14:paraId="3E7A83B1" w14:textId="65EDE257" w:rsidR="007E4059" w:rsidRDefault="00863DCF" w:rsidP="00C2056F">
            <w:pPr>
              <w:rPr>
                <w:sz w:val="28"/>
                <w:szCs w:val="28"/>
              </w:rPr>
            </w:pPr>
            <w:r w:rsidRPr="00DB6D76">
              <w:rPr>
                <w:b/>
                <w:sz w:val="28"/>
                <w:szCs w:val="28"/>
              </w:rPr>
              <w:t xml:space="preserve">Activity </w:t>
            </w:r>
            <w:r w:rsidR="005A1D8A">
              <w:rPr>
                <w:b/>
                <w:sz w:val="28"/>
                <w:szCs w:val="28"/>
              </w:rPr>
              <w:t>5</w:t>
            </w:r>
            <w:r w:rsidR="001E7216">
              <w:rPr>
                <w:b/>
                <w:sz w:val="28"/>
                <w:szCs w:val="28"/>
              </w:rPr>
              <w:t xml:space="preserve"> (EVALUATE)</w:t>
            </w:r>
            <w:r w:rsidRPr="00893D58">
              <w:rPr>
                <w:sz w:val="28"/>
                <w:szCs w:val="28"/>
              </w:rPr>
              <w:t xml:space="preserve"> </w:t>
            </w:r>
            <w:r w:rsidR="00266FF1" w:rsidRPr="00893D58">
              <w:rPr>
                <w:sz w:val="28"/>
                <w:szCs w:val="28"/>
              </w:rPr>
              <w:t>–</w:t>
            </w:r>
            <w:r w:rsidRPr="00893D58">
              <w:rPr>
                <w:sz w:val="28"/>
                <w:szCs w:val="28"/>
              </w:rPr>
              <w:t xml:space="preserve"> </w:t>
            </w:r>
            <w:r w:rsidR="001E7216">
              <w:rPr>
                <w:sz w:val="28"/>
                <w:szCs w:val="28"/>
              </w:rPr>
              <w:t>Students will go back to their KWL Chart to feel in the section on what they have learnt and then evaluate and present this information to the class.</w:t>
            </w:r>
          </w:p>
          <w:p w14:paraId="5757FA01" w14:textId="2662FC6C" w:rsidR="00C2056F" w:rsidRPr="00893D58" w:rsidRDefault="00C2056F" w:rsidP="00C2056F">
            <w:pPr>
              <w:rPr>
                <w:sz w:val="28"/>
                <w:szCs w:val="28"/>
              </w:rPr>
            </w:pPr>
          </w:p>
        </w:tc>
      </w:tr>
      <w:tr w:rsidR="000B5A1E" w:rsidRPr="00893D58" w14:paraId="37A2D2FF" w14:textId="77777777" w:rsidTr="00893D58">
        <w:trPr>
          <w:trHeight w:val="1315"/>
        </w:trPr>
        <w:tc>
          <w:tcPr>
            <w:tcW w:w="15573" w:type="dxa"/>
          </w:tcPr>
          <w:p w14:paraId="523B4070" w14:textId="7F3268F1" w:rsidR="00080680" w:rsidRDefault="00294E75">
            <w:pPr>
              <w:rPr>
                <w:b/>
                <w:sz w:val="28"/>
                <w:szCs w:val="28"/>
              </w:rPr>
            </w:pPr>
            <w:r>
              <w:rPr>
                <w:b/>
                <w:sz w:val="28"/>
                <w:szCs w:val="28"/>
              </w:rPr>
              <w:t>Teacher Background Knowledge</w:t>
            </w:r>
            <w:r w:rsidR="00080680" w:rsidRPr="00893D58">
              <w:rPr>
                <w:b/>
                <w:sz w:val="28"/>
                <w:szCs w:val="28"/>
              </w:rPr>
              <w:t>:</w:t>
            </w:r>
          </w:p>
          <w:p w14:paraId="0459AC44" w14:textId="749D417E" w:rsidR="00AE181F" w:rsidRPr="001E7216" w:rsidRDefault="00AE181F">
            <w:pPr>
              <w:rPr>
                <w:sz w:val="28"/>
                <w:szCs w:val="28"/>
              </w:rPr>
            </w:pPr>
            <w:r>
              <w:rPr>
                <w:sz w:val="28"/>
                <w:szCs w:val="28"/>
              </w:rPr>
              <w:t>For this particular set of activities e</w:t>
            </w:r>
            <w:r w:rsidR="001E7216">
              <w:rPr>
                <w:sz w:val="28"/>
                <w:szCs w:val="28"/>
              </w:rPr>
              <w:t xml:space="preserve">ducators need to know and understand the world around them locally and globally. Children (students) instinctively want to identify the </w:t>
            </w:r>
            <w:r w:rsidR="00146DC6">
              <w:rPr>
                <w:sz w:val="28"/>
                <w:szCs w:val="28"/>
              </w:rPr>
              <w:t>what and how</w:t>
            </w:r>
            <w:r>
              <w:rPr>
                <w:sz w:val="28"/>
                <w:szCs w:val="28"/>
              </w:rPr>
              <w:t>, and educators need to have the scientific literacy to support the learning that occurs through the use of written text. Throughout the activities educators need to use their prior knowledge in what a living thing is, in order to support children to classify and sort living and non-living things. This is done by students remembering that living things have characteristics such as breathing (respiration), excretion, reproduction, nutrition (food &amp; water), grow &amp; develop and sensitive.</w:t>
            </w:r>
          </w:p>
          <w:p w14:paraId="697E918E" w14:textId="77777777" w:rsidR="007E4059" w:rsidRPr="00893D58" w:rsidRDefault="007E4059" w:rsidP="00C2056F">
            <w:pPr>
              <w:rPr>
                <w:sz w:val="28"/>
                <w:szCs w:val="28"/>
              </w:rPr>
            </w:pPr>
          </w:p>
        </w:tc>
      </w:tr>
      <w:tr w:rsidR="000B5A1E" w:rsidRPr="00893D58" w14:paraId="222954CA" w14:textId="77777777" w:rsidTr="00893D58">
        <w:trPr>
          <w:trHeight w:val="1233"/>
        </w:trPr>
        <w:tc>
          <w:tcPr>
            <w:tcW w:w="15573" w:type="dxa"/>
          </w:tcPr>
          <w:p w14:paraId="4623E66C" w14:textId="77777777" w:rsidR="00080680" w:rsidRPr="00893D58" w:rsidRDefault="00080680">
            <w:pPr>
              <w:rPr>
                <w:b/>
                <w:sz w:val="28"/>
                <w:szCs w:val="28"/>
              </w:rPr>
            </w:pPr>
            <w:r w:rsidRPr="00893D58">
              <w:rPr>
                <w:b/>
                <w:sz w:val="28"/>
                <w:szCs w:val="28"/>
              </w:rPr>
              <w:t>Links:</w:t>
            </w:r>
          </w:p>
          <w:p w14:paraId="48F7C6AE" w14:textId="3ACB07CB" w:rsidR="007E4059" w:rsidRDefault="00727BB7">
            <w:pPr>
              <w:rPr>
                <w:sz w:val="28"/>
                <w:szCs w:val="28"/>
              </w:rPr>
            </w:pPr>
            <w:r>
              <w:rPr>
                <w:sz w:val="28"/>
                <w:szCs w:val="28"/>
              </w:rPr>
              <w:t xml:space="preserve">Weebly Link: </w:t>
            </w:r>
            <w:hyperlink r:id="rId4" w:history="1">
              <w:r w:rsidRPr="008C5721">
                <w:rPr>
                  <w:rStyle w:val="Hyperlink"/>
                  <w:sz w:val="28"/>
                  <w:szCs w:val="28"/>
                </w:rPr>
                <w:t>http://kristyscience.weebly.com/task-card-1.html</w:t>
              </w:r>
            </w:hyperlink>
          </w:p>
          <w:p w14:paraId="4CFE9BF4" w14:textId="1ADE97A1" w:rsidR="00727BB7" w:rsidRDefault="00727BB7">
            <w:pPr>
              <w:rPr>
                <w:sz w:val="28"/>
                <w:szCs w:val="28"/>
              </w:rPr>
            </w:pPr>
            <w:r>
              <w:rPr>
                <w:sz w:val="28"/>
                <w:szCs w:val="28"/>
              </w:rPr>
              <w:t xml:space="preserve">Youtube Link: </w:t>
            </w:r>
            <w:hyperlink r:id="rId5" w:history="1">
              <w:r w:rsidRPr="008C5721">
                <w:rPr>
                  <w:rStyle w:val="Hyperlink"/>
                  <w:sz w:val="28"/>
                  <w:szCs w:val="28"/>
                </w:rPr>
                <w:t>https://www.youtube.com/watch?v=bWBrusrCmX4</w:t>
              </w:r>
            </w:hyperlink>
          </w:p>
          <w:p w14:paraId="7C855561" w14:textId="20CF550D" w:rsidR="00727BB7" w:rsidRPr="00893D58" w:rsidRDefault="00727BB7">
            <w:pPr>
              <w:rPr>
                <w:sz w:val="28"/>
                <w:szCs w:val="28"/>
              </w:rPr>
            </w:pPr>
          </w:p>
        </w:tc>
      </w:tr>
      <w:tr w:rsidR="000B5A1E" w:rsidRPr="00893D58" w14:paraId="5DC5C1EF" w14:textId="77777777" w:rsidTr="006E466A">
        <w:trPr>
          <w:trHeight w:val="3960"/>
        </w:trPr>
        <w:tc>
          <w:tcPr>
            <w:tcW w:w="15573" w:type="dxa"/>
          </w:tcPr>
          <w:p w14:paraId="13361D6A" w14:textId="7D1AE993" w:rsidR="000E6B6E" w:rsidRPr="00C2056F" w:rsidRDefault="00251D06">
            <w:pPr>
              <w:rPr>
                <w:b/>
                <w:sz w:val="28"/>
                <w:szCs w:val="28"/>
              </w:rPr>
            </w:pPr>
            <w:r>
              <w:rPr>
                <w:b/>
                <w:sz w:val="28"/>
                <w:szCs w:val="28"/>
              </w:rPr>
              <w:t>References:</w:t>
            </w:r>
          </w:p>
          <w:p w14:paraId="3FDFCF5C" w14:textId="2A1A99C8" w:rsidR="007E4059" w:rsidRDefault="00727BB7">
            <w:pPr>
              <w:rPr>
                <w:sz w:val="28"/>
                <w:szCs w:val="28"/>
              </w:rPr>
            </w:pPr>
            <w:r>
              <w:rPr>
                <w:sz w:val="28"/>
                <w:szCs w:val="28"/>
              </w:rPr>
              <w:t>Australian Curriculum, Assessment and Reporting Authority (ACARA), (2016). Science Curriculum. Retrieved from: http://www.australiancurriculum.edu.au/science/curriculum/f-10?layout=1#level3</w:t>
            </w:r>
          </w:p>
          <w:p w14:paraId="09FC8D9B" w14:textId="77777777" w:rsidR="000D6AC6" w:rsidRDefault="000D6AC6" w:rsidP="000D6AC6">
            <w:pPr>
              <w:rPr>
                <w:sz w:val="28"/>
                <w:szCs w:val="28"/>
              </w:rPr>
            </w:pPr>
            <w:r>
              <w:rPr>
                <w:sz w:val="28"/>
                <w:szCs w:val="28"/>
              </w:rPr>
              <w:t>Bennett, D., (2015). Blakes science guide for primary students. Glebe, NSW: Pascal Press.</w:t>
            </w:r>
          </w:p>
          <w:p w14:paraId="48BE963A" w14:textId="77777777" w:rsidR="000D6AC6" w:rsidRDefault="000D6AC6" w:rsidP="000D6AC6">
            <w:pPr>
              <w:rPr>
                <w:sz w:val="28"/>
                <w:szCs w:val="28"/>
              </w:rPr>
            </w:pPr>
            <w:r>
              <w:rPr>
                <w:sz w:val="28"/>
                <w:szCs w:val="28"/>
              </w:rPr>
              <w:t>Fleer, M., Jane, B., &amp; Hardy, T., (2007). Science for children, developing a personal approach to teaching (3</w:t>
            </w:r>
            <w:r w:rsidRPr="001B1434">
              <w:rPr>
                <w:sz w:val="28"/>
                <w:szCs w:val="28"/>
              </w:rPr>
              <w:t>rd</w:t>
            </w:r>
            <w:r>
              <w:rPr>
                <w:sz w:val="28"/>
                <w:szCs w:val="28"/>
              </w:rPr>
              <w:t xml:space="preserve"> Ed.). Frenchs Forest, NSW: Pearson.</w:t>
            </w:r>
          </w:p>
          <w:p w14:paraId="23264194" w14:textId="77777777" w:rsidR="006E466A" w:rsidRDefault="006E466A" w:rsidP="006E466A">
            <w:pPr>
              <w:rPr>
                <w:sz w:val="28"/>
                <w:szCs w:val="28"/>
              </w:rPr>
            </w:pPr>
            <w:r>
              <w:rPr>
                <w:sz w:val="28"/>
                <w:szCs w:val="28"/>
              </w:rPr>
              <w:t>Gregson, R., (Ed.). (2012). Connecting with science. South Melbourne, VIC: Oxford University Press.</w:t>
            </w:r>
          </w:p>
          <w:p w14:paraId="0DAE880F" w14:textId="2AB30A69" w:rsidR="006E466A" w:rsidRDefault="006E466A" w:rsidP="006E466A">
            <w:pPr>
              <w:rPr>
                <w:sz w:val="28"/>
                <w:szCs w:val="28"/>
              </w:rPr>
            </w:pPr>
            <w:r>
              <w:rPr>
                <w:sz w:val="28"/>
                <w:szCs w:val="28"/>
              </w:rPr>
              <w:t xml:space="preserve">Images </w:t>
            </w:r>
            <w:r>
              <w:rPr>
                <w:sz w:val="28"/>
                <w:szCs w:val="28"/>
              </w:rPr>
              <w:t>&amp; W</w:t>
            </w:r>
            <w:bookmarkStart w:id="0" w:name="_GoBack"/>
            <w:bookmarkEnd w:id="0"/>
            <w:r>
              <w:rPr>
                <w:sz w:val="28"/>
                <w:szCs w:val="28"/>
              </w:rPr>
              <w:t xml:space="preserve">orksheets </w:t>
            </w:r>
            <w:r>
              <w:rPr>
                <w:sz w:val="28"/>
                <w:szCs w:val="28"/>
              </w:rPr>
              <w:t xml:space="preserve">on website obtained from: </w:t>
            </w:r>
            <w:r w:rsidRPr="001B1434">
              <w:rPr>
                <w:sz w:val="28"/>
                <w:szCs w:val="28"/>
              </w:rPr>
              <w:t>https://images.google.com</w:t>
            </w:r>
          </w:p>
          <w:p w14:paraId="3B53A13B" w14:textId="77777777" w:rsidR="006E466A" w:rsidRPr="006A0793" w:rsidRDefault="006E466A" w:rsidP="006E466A">
            <w:pPr>
              <w:rPr>
                <w:sz w:val="28"/>
                <w:szCs w:val="28"/>
              </w:rPr>
            </w:pPr>
            <w:r>
              <w:rPr>
                <w:sz w:val="28"/>
                <w:szCs w:val="28"/>
              </w:rPr>
              <w:t>Loxely, P., Dawes, L., Nicholls, L., &amp; Dore, B., (2014). Teaching primary science, promoting enjoyment and developing understanding (2nd Ed.). New York, USA: Routledge.</w:t>
            </w:r>
          </w:p>
          <w:p w14:paraId="26A68840" w14:textId="229D4AA5" w:rsidR="00727BB7" w:rsidRPr="00893D58" w:rsidRDefault="006E466A" w:rsidP="006E466A">
            <w:pPr>
              <w:rPr>
                <w:sz w:val="28"/>
                <w:szCs w:val="28"/>
              </w:rPr>
            </w:pPr>
            <w:r>
              <w:rPr>
                <w:sz w:val="28"/>
                <w:szCs w:val="28"/>
              </w:rPr>
              <w:t>Primary Connections. (2016).</w:t>
            </w:r>
            <w:r>
              <w:rPr>
                <w:sz w:val="28"/>
                <w:szCs w:val="28"/>
              </w:rPr>
              <w:t xml:space="preserve"> Feathers, fur or leaves. </w:t>
            </w:r>
            <w:r>
              <w:rPr>
                <w:sz w:val="28"/>
                <w:szCs w:val="28"/>
              </w:rPr>
              <w:t xml:space="preserve">Retrieved from: </w:t>
            </w:r>
            <w:r w:rsidRPr="006E466A">
              <w:rPr>
                <w:sz w:val="28"/>
                <w:szCs w:val="28"/>
              </w:rPr>
              <w:t>http://www.scootle.edu.au/ec/viewing/S5686/index.html</w:t>
            </w:r>
          </w:p>
        </w:tc>
      </w:tr>
    </w:tbl>
    <w:p w14:paraId="06ADE0FE" w14:textId="77777777" w:rsidR="007E4DBC" w:rsidRPr="00893D58" w:rsidRDefault="007E4DBC">
      <w:pPr>
        <w:rPr>
          <w:b/>
          <w:sz w:val="28"/>
          <w:szCs w:val="28"/>
        </w:rPr>
      </w:pPr>
    </w:p>
    <w:sectPr w:rsidR="007E4DBC" w:rsidRPr="00893D58" w:rsidSect="000B5A1E">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activeWritingStyle w:appName="MSWord" w:lang="en-US" w:vendorID="64" w:dllVersion="131078" w:nlCheck="1" w:checkStyle="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80"/>
    <w:rsid w:val="0001119E"/>
    <w:rsid w:val="00080680"/>
    <w:rsid w:val="000B5A1E"/>
    <w:rsid w:val="000D6AC6"/>
    <w:rsid w:val="000E6B6E"/>
    <w:rsid w:val="001228C5"/>
    <w:rsid w:val="00146DC6"/>
    <w:rsid w:val="00173BD7"/>
    <w:rsid w:val="001B4B89"/>
    <w:rsid w:val="001D577F"/>
    <w:rsid w:val="001E7216"/>
    <w:rsid w:val="002453B7"/>
    <w:rsid w:val="00251D06"/>
    <w:rsid w:val="00266FF1"/>
    <w:rsid w:val="00294E75"/>
    <w:rsid w:val="00295A9D"/>
    <w:rsid w:val="002E3325"/>
    <w:rsid w:val="00300F9A"/>
    <w:rsid w:val="003658C4"/>
    <w:rsid w:val="00405B68"/>
    <w:rsid w:val="005273A8"/>
    <w:rsid w:val="005A1D8A"/>
    <w:rsid w:val="005F6D96"/>
    <w:rsid w:val="006036D6"/>
    <w:rsid w:val="00622889"/>
    <w:rsid w:val="00637CBC"/>
    <w:rsid w:val="006E2F7E"/>
    <w:rsid w:val="006E466A"/>
    <w:rsid w:val="00722BCB"/>
    <w:rsid w:val="00727BB7"/>
    <w:rsid w:val="007E4059"/>
    <w:rsid w:val="007E4DBC"/>
    <w:rsid w:val="00802304"/>
    <w:rsid w:val="008131D5"/>
    <w:rsid w:val="00863DCF"/>
    <w:rsid w:val="00893D58"/>
    <w:rsid w:val="008E451C"/>
    <w:rsid w:val="00916DD2"/>
    <w:rsid w:val="009620C0"/>
    <w:rsid w:val="00981507"/>
    <w:rsid w:val="00982FF2"/>
    <w:rsid w:val="00A9591F"/>
    <w:rsid w:val="00AA5227"/>
    <w:rsid w:val="00AE0444"/>
    <w:rsid w:val="00AE181F"/>
    <w:rsid w:val="00C2056F"/>
    <w:rsid w:val="00CB75BA"/>
    <w:rsid w:val="00D12450"/>
    <w:rsid w:val="00D13F40"/>
    <w:rsid w:val="00DB6D76"/>
    <w:rsid w:val="00EA6570"/>
    <w:rsid w:val="00EE6D9B"/>
    <w:rsid w:val="00F75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F19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06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27B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kristyscience.weebly.com/task-card-1.html" TargetMode="External"/><Relationship Id="rId5" Type="http://schemas.openxmlformats.org/officeDocument/2006/relationships/hyperlink" Target="https://www.youtube.com/watch?v=bWBrusrCmX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617</Words>
  <Characters>3518</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Jenkins</dc:creator>
  <cp:keywords/>
  <dc:description/>
  <cp:lastModifiedBy>Kristy Jenkins</cp:lastModifiedBy>
  <cp:revision>8</cp:revision>
  <dcterms:created xsi:type="dcterms:W3CDTF">2016-06-03T06:11:00Z</dcterms:created>
  <dcterms:modified xsi:type="dcterms:W3CDTF">2016-06-04T02:54:00Z</dcterms:modified>
</cp:coreProperties>
</file>